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94955" w:rsidRDefault="00094955" w:rsidP="00FB1786">
      <w:pPr>
        <w:jc w:val="both"/>
      </w:pPr>
      <w:r w:rsidRPr="00094955">
        <w:rPr>
          <w:b/>
          <w:bCs/>
        </w:rPr>
        <w:t>Bosque de la Memoria</w:t>
      </w:r>
      <w:r w:rsidRPr="00094955">
        <w:t>,</w:t>
      </w:r>
    </w:p>
    <w:p w:rsidR="00094955" w:rsidRDefault="00094955" w:rsidP="00FB1786">
      <w:pPr>
        <w:jc w:val="both"/>
      </w:pPr>
    </w:p>
    <w:p w:rsidR="00094955" w:rsidRPr="00094955" w:rsidRDefault="00094955" w:rsidP="00FB1786">
      <w:pPr>
        <w:jc w:val="both"/>
        <w:rPr>
          <w:b/>
          <w:bCs/>
        </w:rPr>
      </w:pPr>
      <w:r w:rsidRPr="00094955">
        <w:rPr>
          <w:b/>
          <w:bCs/>
        </w:rPr>
        <w:t>¿Qué se planeó hacer?</w:t>
      </w:r>
    </w:p>
    <w:p w:rsidR="00094955" w:rsidRPr="00094955" w:rsidRDefault="00094955" w:rsidP="00FB1786">
      <w:pPr>
        <w:jc w:val="both"/>
      </w:pPr>
      <w:r w:rsidRPr="00094955">
        <w:t>Bajo la premisa de disminuir el estigma y las prácticas de discriminación social hacia las personas usuarias de sustancias psicoactivas, en el marco del Convenio 664 de 2025 —desarrollado por el Ministerio de Justicia y del Derecho y el Sistema Universitario del Eje Cafetero (SUEJE)— se diseñó e implementó una metodología orientada a la transformación de los territorios y de las narrativas estigmatizantes.</w:t>
      </w:r>
    </w:p>
    <w:p w:rsidR="00094955" w:rsidRPr="00094955" w:rsidRDefault="00094955" w:rsidP="00FB1786">
      <w:pPr>
        <w:jc w:val="both"/>
      </w:pPr>
      <w:r w:rsidRPr="00094955">
        <w:t>Esta propuesta, denominada </w:t>
      </w:r>
      <w:r w:rsidRPr="00094955">
        <w:rPr>
          <w:b/>
          <w:bCs/>
        </w:rPr>
        <w:t>“Imaginar el Bosque de la Memoria”</w:t>
      </w:r>
      <w:r w:rsidRPr="00094955">
        <w:t>, consistió en la realización de un taller en Leticia (Amazonas), estructurado en seis (6) jornadas presenciales de seis (6) horas cada una, con la participación de entre 10 y 15 personas de diversos sectores, con énfasis en población joven.</w:t>
      </w:r>
    </w:p>
    <w:p w:rsidR="00094955" w:rsidRPr="00094955" w:rsidRDefault="00094955" w:rsidP="00FB1786">
      <w:pPr>
        <w:jc w:val="both"/>
      </w:pPr>
      <w:r w:rsidRPr="00094955">
        <w:t>El taller se orientó a fomentar el diálogo intergeneracional, la memoria territorial y la construcción de nuevas narrativas sobre las drogas desde enfoques cultural, social y de derechos. Para ello, se desarrollaron ejercicios de autorrepresentación, escucha activa y reconocimiento del territorio, que permitieron a los participantes explorar sus propias experiencias y contextos.</w:t>
      </w:r>
    </w:p>
    <w:p w:rsidR="00094955" w:rsidRPr="00094955" w:rsidRDefault="00094955" w:rsidP="00FB1786">
      <w:pPr>
        <w:jc w:val="both"/>
      </w:pPr>
      <w:r w:rsidRPr="00094955">
        <w:t>Como resultado del proceso, y a partir de los insumos artísticos y narrativos generados, se proyectó una exposición fotográfica. Esta incluyó la construcción colectiva del guion museográfico, así como la producción e instalación de la muestra en un espacio de alta circulación del municipio. De manera transversal, se integraron los mensajes clave de la Política Nacional de Drogas 2023–2033 </w:t>
      </w:r>
      <w:r w:rsidRPr="00094955">
        <w:rPr>
          <w:i/>
          <w:iCs/>
        </w:rPr>
        <w:t>“Sembrando vida, desterramos el narcotráfico”</w:t>
      </w:r>
      <w:r w:rsidRPr="00094955">
        <w:t>, articulándolos de forma creativa y significativa dentro del proceso.</w:t>
      </w:r>
    </w:p>
    <w:p w:rsidR="00094955" w:rsidRPr="00094955" w:rsidRDefault="00094955" w:rsidP="00FB1786">
      <w:pPr>
        <w:jc w:val="both"/>
      </w:pPr>
      <w:r w:rsidRPr="00094955">
        <w:t>La propuesta se sustentó en enfoques estructurales que garantizaron su pertinencia territorial, la participación comunitaria y la transformación simbólica de las narrativas. En este sentido, se incorporaron los enfoques territorial, participativo, intercultural, de memoria y oralidad, así como el creativo y expresivo, los cuales orientaron la construcción de los contenidos temáticos y didácticos del taller.</w:t>
      </w:r>
    </w:p>
    <w:p w:rsidR="00094955" w:rsidRPr="00094955" w:rsidRDefault="00094955" w:rsidP="00FB1786">
      <w:pPr>
        <w:jc w:val="both"/>
      </w:pPr>
      <w:r w:rsidRPr="00094955">
        <w:t>Cada jornada se organizó a partir de una estructura pedagógica compuesta por cinco momentos:</w:t>
      </w:r>
    </w:p>
    <w:p w:rsidR="00094955" w:rsidRPr="00094955" w:rsidRDefault="00094955" w:rsidP="00FB1786">
      <w:pPr>
        <w:numPr>
          <w:ilvl w:val="0"/>
          <w:numId w:val="1"/>
        </w:numPr>
        <w:jc w:val="both"/>
      </w:pPr>
      <w:r w:rsidRPr="00094955">
        <w:rPr>
          <w:b/>
          <w:bCs/>
        </w:rPr>
        <w:t>La Ruta (planeación):</w:t>
      </w:r>
      <w:r w:rsidRPr="00094955">
        <w:t> definición de objetivos conceptuales, procedimentales y actitudinales, precisando los aprendizajes esperados, las metodologías a emplear y los valores a promover.</w:t>
      </w:r>
    </w:p>
    <w:p w:rsidR="00094955" w:rsidRPr="00094955" w:rsidRDefault="00094955" w:rsidP="00FB1786">
      <w:pPr>
        <w:numPr>
          <w:ilvl w:val="0"/>
          <w:numId w:val="1"/>
        </w:numPr>
        <w:jc w:val="both"/>
      </w:pPr>
      <w:r w:rsidRPr="00094955">
        <w:rPr>
          <w:b/>
          <w:bCs/>
        </w:rPr>
        <w:t>El Equipaje:</w:t>
      </w:r>
      <w:r w:rsidRPr="00094955">
        <w:t> activación de saberes previos y experiencias, permitiendo reconocer los imaginarios, referencias culturales y trayectorias de los participantes.</w:t>
      </w:r>
    </w:p>
    <w:p w:rsidR="00094955" w:rsidRPr="00094955" w:rsidRDefault="00094955" w:rsidP="00FB1786">
      <w:pPr>
        <w:numPr>
          <w:ilvl w:val="0"/>
          <w:numId w:val="1"/>
        </w:numPr>
        <w:jc w:val="both"/>
      </w:pPr>
      <w:r w:rsidRPr="00094955">
        <w:rPr>
          <w:b/>
          <w:bCs/>
        </w:rPr>
        <w:t>El Viaje:</w:t>
      </w:r>
      <w:r w:rsidRPr="00094955">
        <w:t> desarrollo de ejercicios lúdicos y sensoriales orientados a estimular la creatividad, la imaginación y la conexión emocional con los temas abordados.</w:t>
      </w:r>
    </w:p>
    <w:p w:rsidR="00094955" w:rsidRPr="00094955" w:rsidRDefault="00094955" w:rsidP="00FB1786">
      <w:pPr>
        <w:numPr>
          <w:ilvl w:val="0"/>
          <w:numId w:val="1"/>
        </w:numPr>
        <w:jc w:val="both"/>
      </w:pPr>
      <w:r w:rsidRPr="00094955">
        <w:rPr>
          <w:b/>
          <w:bCs/>
        </w:rPr>
        <w:t>El Mapa:</w:t>
      </w:r>
      <w:r w:rsidRPr="00094955">
        <w:t> fundamentación conceptual accesible, que brindó herramientas para comprender fenómenos como la memoria, la construcción de imaginarios y la estigmatización territorial.</w:t>
      </w:r>
    </w:p>
    <w:p w:rsidR="00094955" w:rsidRPr="00094955" w:rsidRDefault="00094955" w:rsidP="00FB1786">
      <w:pPr>
        <w:numPr>
          <w:ilvl w:val="0"/>
          <w:numId w:val="1"/>
        </w:numPr>
        <w:jc w:val="both"/>
      </w:pPr>
      <w:r w:rsidRPr="00094955">
        <w:rPr>
          <w:b/>
          <w:bCs/>
        </w:rPr>
        <w:t>La Ruta (producción):</w:t>
      </w:r>
      <w:r w:rsidRPr="00094955">
        <w:t> aplicación práctica de los aprendizajes mediante la creación de productos expresivos, como fotografías, relatos, entrevistas sonoras o piezas audiovisuales.</w:t>
      </w:r>
    </w:p>
    <w:p w:rsidR="00094955" w:rsidRPr="00094955" w:rsidRDefault="00094955" w:rsidP="00FB1786">
      <w:pPr>
        <w:jc w:val="both"/>
      </w:pPr>
      <w:r w:rsidRPr="00094955">
        <w:lastRenderedPageBreak/>
        <w:t>El contenido temático del taller se desarrolló de manera progresiva, abordando la relación entre imaginación y memoria, el trabajo con historias orales, la planificación de producciones visuales, la creación fotográfica, la curaduría colectiva y el diseño museográfico.</w:t>
      </w:r>
    </w:p>
    <w:p w:rsidR="00094955" w:rsidRPr="00094955" w:rsidRDefault="00094955" w:rsidP="00FB1786">
      <w:pPr>
        <w:jc w:val="both"/>
      </w:pPr>
      <w:r w:rsidRPr="00094955">
        <w:t>El proceso contó con la participación de 14 personas y se llevó a cabo entre el 22 y el 27 de septiembre de 2025 en la Casa Lúdica Municipal de Leticia, espacio que fue seleccionado por su idoneidad para el desarrollo de las actividades.</w:t>
      </w:r>
    </w:p>
    <w:p w:rsidR="00094955" w:rsidRPr="00094955" w:rsidRDefault="00094955" w:rsidP="00FB1786">
      <w:pPr>
        <w:jc w:val="both"/>
      </w:pPr>
      <w:r w:rsidRPr="00094955">
        <w:t xml:space="preserve">Durante las jornadas, los participantes transitaron desde ejercicios iniciales de exploración sensorial y narrativa, hacia experiencias de diálogo intergeneracional con mayores indígenas en la maloca </w:t>
      </w:r>
      <w:proofErr w:type="spellStart"/>
      <w:r w:rsidRPr="00094955">
        <w:t>Magüta</w:t>
      </w:r>
      <w:proofErr w:type="spellEnd"/>
      <w:r w:rsidRPr="00094955">
        <w:t>, donde se abordaron temas relacionados con el territorio, las plantas sagradas y las memorias ancestrales. Posteriormente, avanzaron hacia la preproducción, la creación fotográfica en escenarios culturales y naturales, y la selección colectiva de un amplio archivo visual que superó las 4000 imágenes.</w:t>
      </w:r>
    </w:p>
    <w:p w:rsidR="00094955" w:rsidRPr="00094955" w:rsidRDefault="00094955" w:rsidP="00FB1786">
      <w:pPr>
        <w:jc w:val="both"/>
      </w:pPr>
      <w:r w:rsidRPr="00094955">
        <w:t>Como cierre del proceso, se consolidó la exposición </w:t>
      </w:r>
      <w:r w:rsidRPr="00094955">
        <w:rPr>
          <w:b/>
          <w:bCs/>
        </w:rPr>
        <w:t>“Bosque de la Memoria”</w:t>
      </w:r>
      <w:r w:rsidRPr="00094955">
        <w:t>, realizada durante el mes de octubre de 2025 en el Parque Santander de Leticia. La muestra, concebida como una intervención en espacio público, estuvo compuesta por siete cubos monumentales de 2.5 × 2.5 metros, elaborados con materiales resistentes a las condiciones climáticas y distribuidos estratégicamente para maximizar su visibilidad.</w:t>
      </w:r>
    </w:p>
    <w:p w:rsidR="00094955" w:rsidRDefault="00094955" w:rsidP="00FB1786">
      <w:pPr>
        <w:jc w:val="both"/>
      </w:pPr>
      <w:r w:rsidRPr="00094955">
        <w:t>La exposición tuvo como propósito generar diálogo, visibilizar las narrativas construidas y propiciar el encuentro entre comunidades locales, pueblos indígenas, instituciones y visitantes. El uso del formato monumental permitió transformar la percepción del espacio urbano, facilitando el acceso abierto al arte y promoviendo la reflexión sobre temas culturales, sociales y territoriales.</w:t>
      </w:r>
    </w:p>
    <w:p w:rsidR="00FB1786" w:rsidRDefault="00FB1786" w:rsidP="00FB1786">
      <w:pPr>
        <w:jc w:val="both"/>
      </w:pPr>
    </w:p>
    <w:p w:rsidR="00FB1786" w:rsidRDefault="00FB1786" w:rsidP="00FB1786">
      <w:pPr>
        <w:jc w:val="both"/>
      </w:pPr>
    </w:p>
    <w:p w:rsidR="00FB1786" w:rsidRPr="00FB1786" w:rsidRDefault="00FB1786" w:rsidP="00FB1786">
      <w:pPr>
        <w:jc w:val="both"/>
        <w:rPr>
          <w:b/>
          <w:bCs/>
        </w:rPr>
      </w:pPr>
      <w:r w:rsidRPr="00FB1786">
        <w:rPr>
          <w:b/>
          <w:bCs/>
        </w:rPr>
        <w:t>¿Qué cambios se produjeron?</w:t>
      </w:r>
    </w:p>
    <w:p w:rsidR="00FB1786" w:rsidRPr="00FB1786" w:rsidRDefault="00FB1786" w:rsidP="00FB1786">
      <w:pPr>
        <w:jc w:val="both"/>
      </w:pPr>
      <w:r w:rsidRPr="00FB1786">
        <w:t>El proceso generó transformaciones significativas en la relación de los participantes con la imaginación, la memoria y la construcción de narrativas. En primer lugar, se evidenció un fortalecimiento en su capacidad para activar y dirigir la imaginación de manera consciente, utilizando estímulos sonoros y lingüísticos como detonantes creativos. Este desarrollo permitió que, progresivamente, lograran traducir conceptos abstractos y experiencias complejas en imágenes concretas, superando la timidez inicial y consolidando propuestas visuales con alto contenido simbólico y personal.</w:t>
      </w:r>
    </w:p>
    <w:p w:rsidR="00FB1786" w:rsidRPr="00FB1786" w:rsidRDefault="00FB1786" w:rsidP="00FB1786">
      <w:pPr>
        <w:jc w:val="both"/>
      </w:pPr>
      <w:r w:rsidRPr="00FB1786">
        <w:t>Uno de los cambios más relevantes se produjo en la manera en que los participantes comprendieron y se relacionaron con las narrativas culturales y territoriales indígenas. El encuentro intergeneracional en la maloca funcionó como un espacio de mediación y aprendizaje directo, facilitando el acceso a saberes ancestrales y propiciando el desmontaje de prejuicios asociados a elementos como la hoja de coca, el tabaco y el territorio. A partir de esta experiencia, se consolidó una mirada más respetuosa, informada y situada, lo cual se reflejó en la profundidad simbólica de las imágenes creadas posteriormente.</w:t>
      </w:r>
    </w:p>
    <w:p w:rsidR="00FB1786" w:rsidRPr="00FB1786" w:rsidRDefault="00FB1786" w:rsidP="00FB1786">
      <w:pPr>
        <w:jc w:val="both"/>
      </w:pPr>
      <w:r w:rsidRPr="00FB1786">
        <w:lastRenderedPageBreak/>
        <w:t>Asimismo, la metodología permitió una apropiación progresiva de herramientas técnicas y narrativas vinculadas a la producción audiovisual y fotográfica. Los participantes pasaron de ejercicios guiados de visualización a la planificación y ejecución de sesiones fotográficas, enfrentando retos logísticos, tomando decisiones colectivas y desarrollando dinámicas de trabajo colaborativo. Este proceso no solo fortaleció habilidades técnicas, sino que también favoreció la emergencia de liderazgos y la construcción de relaciones basadas en la cooperación.</w:t>
      </w:r>
    </w:p>
    <w:p w:rsidR="00FB1786" w:rsidRPr="00FB1786" w:rsidRDefault="00FB1786" w:rsidP="00FB1786">
      <w:pPr>
        <w:jc w:val="both"/>
      </w:pPr>
      <w:r w:rsidRPr="00FB1786">
        <w:t>En este sentido, el testimonio de una de las participantes evidencia el alcance del proceso:</w:t>
      </w:r>
    </w:p>
    <w:p w:rsidR="00FB1786" w:rsidRPr="00FB1786" w:rsidRDefault="00FB1786" w:rsidP="00FB1786">
      <w:pPr>
        <w:jc w:val="both"/>
      </w:pPr>
      <w:r w:rsidRPr="00FB1786">
        <w:t>“Nunca había tocado una cámara, nunca había sentido qué es tomar una foto… imaginar cómo podemos crear una fotografía en nuestra mente, entender que la memoria no es solo una caja de recuerdos” (comunicación personal, 2025).</w:t>
      </w:r>
    </w:p>
    <w:p w:rsidR="00FB1786" w:rsidRPr="00FB1786" w:rsidRDefault="00FB1786" w:rsidP="00FB1786">
      <w:pPr>
        <w:jc w:val="both"/>
      </w:pPr>
      <w:r w:rsidRPr="00FB1786">
        <w:t>De manera complementaria, el proceso contribuyó al fortalecimiento del tejido social entre los participantes, quienes consolidaron vínculos de confianza y conformaron nuevas redes de colaboración. Estas relaciones se construyeron a partir del intercambio de experiencias, la creación colectiva y el reconocimiento mutuo de saberes.</w:t>
      </w:r>
    </w:p>
    <w:p w:rsidR="00FB1786" w:rsidRPr="00FB1786" w:rsidRDefault="00FB1786" w:rsidP="00FB1786">
      <w:pPr>
        <w:jc w:val="both"/>
      </w:pPr>
      <w:r w:rsidRPr="00FB1786">
        <w:t>Otro aspecto central fue la consolidación de la memoria territorial como eje de creación. A través de ejercicios de autorrepresentación, escucha activa y reconocimiento del entorno, los participantes lograron construir un archivo visual propio que da cuenta de prácticas ancestrales, espacios de sustento y elementos culturales significativos, como las chagras y el uso de plantas sagradas. Este corpus de imágenes no solo representa un ejercicio estético, sino también un acto de reafirmación cultural y de agencia narrativa.</w:t>
      </w:r>
    </w:p>
    <w:p w:rsidR="00FB1786" w:rsidRPr="00FB1786" w:rsidRDefault="00FB1786" w:rsidP="00FB1786">
      <w:pPr>
        <w:jc w:val="both"/>
      </w:pPr>
      <w:r w:rsidRPr="00FB1786">
        <w:t>En esta misma línea, el taller y la exposición promovieron la capacidad de proyectar la memoria como un espacio dinámico y colectivo, más allá de la simple evocación del pasado. Tal como lo expresó otra participante, el proceso le permitió “lograr lo que busco: conectar con la cultura propia y tener la capacidad de hablar con claridad sobre lo que me interesa” (comunicación personal, 2025).</w:t>
      </w:r>
    </w:p>
    <w:p w:rsidR="00FB1786" w:rsidRPr="00FB1786" w:rsidRDefault="00FB1786" w:rsidP="00FB1786">
      <w:pPr>
        <w:jc w:val="both"/>
      </w:pPr>
      <w:r w:rsidRPr="00FB1786">
        <w:t>Finalmente, la metodología facilitó la construcción de nuevas narrativas sobre las drogas, alejadas de enfoques estigmatizantes y centradas en perspectivas culturales, sociales y de derechos. Estas narrativas, materializadas en la exposición y en el archivo visual producido, evidencian una transformación en la forma de ver, interpretar y representar tanto el territorio como las experiencias asociadas a este.</w:t>
      </w:r>
    </w:p>
    <w:p w:rsidR="00FB1786" w:rsidRPr="00FB1786" w:rsidRDefault="00FB1786" w:rsidP="00FB1786">
      <w:pPr>
        <w:jc w:val="both"/>
      </w:pPr>
      <w:r w:rsidRPr="00FB1786">
        <w:t>En conjunto, los cambios observados dan cuenta de un proceso integral que no solo fortaleció capacidades creativas y técnicas, sino que también promovió transformaciones profundas en las percepciones, relaciones y formas de narrar la realidad por parte de los participantes.</w:t>
      </w:r>
    </w:p>
    <w:p w:rsidR="00FB1786" w:rsidRPr="00094955" w:rsidRDefault="00FB1786" w:rsidP="00094955"/>
    <w:p w:rsidR="00CE4F12" w:rsidRDefault="00CE4F12"/>
    <w:sectPr w:rsidR="00CE4F1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170471"/>
    <w:multiLevelType w:val="multilevel"/>
    <w:tmpl w:val="FFB2F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7440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955"/>
    <w:rsid w:val="00094955"/>
    <w:rsid w:val="00500E4C"/>
    <w:rsid w:val="00655F1C"/>
    <w:rsid w:val="00B202DE"/>
    <w:rsid w:val="00C903C1"/>
    <w:rsid w:val="00CE4F12"/>
    <w:rsid w:val="00FB178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54A57E1B"/>
  <w15:chartTrackingRefBased/>
  <w15:docId w15:val="{C2C6687C-4165-5145-89FC-33FCE6EE3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949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949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9495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9495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9495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9495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9495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9495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9495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9495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9495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9495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9495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9495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9495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9495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9495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94955"/>
    <w:rPr>
      <w:rFonts w:eastAsiaTheme="majorEastAsia" w:cstheme="majorBidi"/>
      <w:color w:val="272727" w:themeColor="text1" w:themeTint="D8"/>
    </w:rPr>
  </w:style>
  <w:style w:type="paragraph" w:styleId="Ttulo">
    <w:name w:val="Title"/>
    <w:basedOn w:val="Normal"/>
    <w:next w:val="Normal"/>
    <w:link w:val="TtuloCar"/>
    <w:uiPriority w:val="10"/>
    <w:qFormat/>
    <w:rsid w:val="0009495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9495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94955"/>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9495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94955"/>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094955"/>
    <w:rPr>
      <w:i/>
      <w:iCs/>
      <w:color w:val="404040" w:themeColor="text1" w:themeTint="BF"/>
    </w:rPr>
  </w:style>
  <w:style w:type="paragraph" w:styleId="Prrafodelista">
    <w:name w:val="List Paragraph"/>
    <w:basedOn w:val="Normal"/>
    <w:uiPriority w:val="34"/>
    <w:qFormat/>
    <w:rsid w:val="00094955"/>
    <w:pPr>
      <w:ind w:left="720"/>
      <w:contextualSpacing/>
    </w:pPr>
  </w:style>
  <w:style w:type="character" w:styleId="nfasisintenso">
    <w:name w:val="Intense Emphasis"/>
    <w:basedOn w:val="Fuentedeprrafopredeter"/>
    <w:uiPriority w:val="21"/>
    <w:qFormat/>
    <w:rsid w:val="00094955"/>
    <w:rPr>
      <w:i/>
      <w:iCs/>
      <w:color w:val="0F4761" w:themeColor="accent1" w:themeShade="BF"/>
    </w:rPr>
  </w:style>
  <w:style w:type="paragraph" w:styleId="Citadestacada">
    <w:name w:val="Intense Quote"/>
    <w:basedOn w:val="Normal"/>
    <w:next w:val="Normal"/>
    <w:link w:val="CitadestacadaCar"/>
    <w:uiPriority w:val="30"/>
    <w:qFormat/>
    <w:rsid w:val="000949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94955"/>
    <w:rPr>
      <w:i/>
      <w:iCs/>
      <w:color w:val="0F4761" w:themeColor="accent1" w:themeShade="BF"/>
    </w:rPr>
  </w:style>
  <w:style w:type="character" w:styleId="Referenciaintensa">
    <w:name w:val="Intense Reference"/>
    <w:basedOn w:val="Fuentedeprrafopredeter"/>
    <w:uiPriority w:val="32"/>
    <w:qFormat/>
    <w:rsid w:val="0009495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3566241">
      <w:bodyDiv w:val="1"/>
      <w:marLeft w:val="0"/>
      <w:marRight w:val="0"/>
      <w:marTop w:val="0"/>
      <w:marBottom w:val="0"/>
      <w:divBdr>
        <w:top w:val="none" w:sz="0" w:space="0" w:color="auto"/>
        <w:left w:val="none" w:sz="0" w:space="0" w:color="auto"/>
        <w:bottom w:val="none" w:sz="0" w:space="0" w:color="auto"/>
        <w:right w:val="none" w:sz="0" w:space="0" w:color="auto"/>
      </w:divBdr>
      <w:divsChild>
        <w:div w:id="16506751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4239276">
      <w:bodyDiv w:val="1"/>
      <w:marLeft w:val="0"/>
      <w:marRight w:val="0"/>
      <w:marTop w:val="0"/>
      <w:marBottom w:val="0"/>
      <w:divBdr>
        <w:top w:val="none" w:sz="0" w:space="0" w:color="auto"/>
        <w:left w:val="none" w:sz="0" w:space="0" w:color="auto"/>
        <w:bottom w:val="none" w:sz="0" w:space="0" w:color="auto"/>
        <w:right w:val="none" w:sz="0" w:space="0" w:color="auto"/>
      </w:divBdr>
    </w:div>
    <w:div w:id="1542864866">
      <w:bodyDiv w:val="1"/>
      <w:marLeft w:val="0"/>
      <w:marRight w:val="0"/>
      <w:marTop w:val="0"/>
      <w:marBottom w:val="0"/>
      <w:divBdr>
        <w:top w:val="none" w:sz="0" w:space="0" w:color="auto"/>
        <w:left w:val="none" w:sz="0" w:space="0" w:color="auto"/>
        <w:bottom w:val="none" w:sz="0" w:space="0" w:color="auto"/>
        <w:right w:val="none" w:sz="0" w:space="0" w:color="auto"/>
      </w:divBdr>
    </w:div>
    <w:div w:id="1661276316">
      <w:bodyDiv w:val="1"/>
      <w:marLeft w:val="0"/>
      <w:marRight w:val="0"/>
      <w:marTop w:val="0"/>
      <w:marBottom w:val="0"/>
      <w:divBdr>
        <w:top w:val="none" w:sz="0" w:space="0" w:color="auto"/>
        <w:left w:val="none" w:sz="0" w:space="0" w:color="auto"/>
        <w:bottom w:val="none" w:sz="0" w:space="0" w:color="auto"/>
        <w:right w:val="none" w:sz="0" w:space="0" w:color="auto"/>
      </w:divBdr>
      <w:divsChild>
        <w:div w:id="20088240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1365</Words>
  <Characters>7510</Characters>
  <Application>Microsoft Office Word</Application>
  <DocSecurity>0</DocSecurity>
  <Lines>62</Lines>
  <Paragraphs>17</Paragraphs>
  <ScaleCrop>false</ScaleCrop>
  <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2026-04-20T03:26:00Z</dcterms:created>
  <dcterms:modified xsi:type="dcterms:W3CDTF">2026-04-20T03:27:00Z</dcterms:modified>
</cp:coreProperties>
</file>